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49E" w:rsidRDefault="00E4049E" w:rsidP="00E4049E">
      <w:pPr>
        <w:jc w:val="center"/>
        <w:rPr>
          <w:rFonts w:ascii="Cambria Math" w:hAnsi="Cambria Math" w:cs="Cambria Math"/>
        </w:rPr>
      </w:pPr>
      <w:r>
        <w:rPr>
          <w:rFonts w:ascii="Cambria Math" w:hAnsi="Cambria Math" w:cs="Cambria Math"/>
        </w:rPr>
        <w:t>U</w:t>
      </w:r>
      <w:r w:rsidRPr="00E4049E">
        <w:rPr>
          <w:rFonts w:ascii="Cambria Math" w:hAnsi="Cambria Math" w:cs="Cambria Math"/>
        </w:rPr>
        <w:t>sage regulations</w:t>
      </w:r>
    </w:p>
    <w:p w:rsidR="00E4049E" w:rsidRDefault="00E4049E"/>
    <w:p w:rsidR="00E4049E" w:rsidRDefault="00E4049E">
      <w:r w:rsidRPr="00E4049E">
        <w:t xml:space="preserve">MINFLUX </w:t>
      </w:r>
      <w:r w:rsidRPr="00E4049E">
        <w:rPr>
          <w:rFonts w:ascii="Cambria Math" w:hAnsi="Cambria Math" w:cs="Cambria Math"/>
        </w:rPr>
        <w:t>usage regulations</w:t>
      </w:r>
      <w:r w:rsidRPr="00E4049E">
        <w:t xml:space="preserve"> are intended to allow users to use the platform safely and without worries. These Rules are established by the User Committee and announced on the website; the same applies to amendments.</w:t>
      </w:r>
    </w:p>
    <w:p w:rsidR="00E4049E" w:rsidRPr="00E4049E" w:rsidRDefault="00E4049E" w:rsidP="00E4049E">
      <w:pPr>
        <w:pStyle w:val="a9"/>
        <w:numPr>
          <w:ilvl w:val="0"/>
          <w:numId w:val="1"/>
        </w:numPr>
      </w:pPr>
      <w:r w:rsidRPr="00E4049E">
        <w:rPr>
          <w:rFonts w:ascii="Cambria Math" w:hAnsi="Cambria Math" w:cs="Cambria Math"/>
        </w:rPr>
        <w:t>Anyone who violates the MINFLUX usage regulations</w:t>
      </w:r>
      <w:r>
        <w:rPr>
          <w:rFonts w:ascii="Cambria Math" w:hAnsi="Cambria Math" w:cs="Cambria Math"/>
        </w:rPr>
        <w:t>,</w:t>
      </w:r>
      <w:r w:rsidRPr="00E4049E">
        <w:rPr>
          <w:rFonts w:ascii="Cambria Math" w:hAnsi="Cambria Math" w:cs="Cambria Math"/>
        </w:rPr>
        <w:t xml:space="preserve"> the laboratory access control and safety regulations will be given a verbal warning for the first time, suspended for one week for the second time, suspended for one month for the third time, and permanently suspended for the fourth time</w:t>
      </w:r>
      <w:r>
        <w:rPr>
          <w:rFonts w:ascii="Cambria Math" w:hAnsi="Cambria Math" w:cs="Cambria Math"/>
        </w:rPr>
        <w:t>.</w:t>
      </w:r>
      <w:r w:rsidRPr="00E4049E">
        <w:rPr>
          <w:rFonts w:ascii="Cambria Math" w:hAnsi="Cambria Math" w:cs="Cambria Math"/>
        </w:rPr>
        <w:t xml:space="preserve"> </w:t>
      </w:r>
      <w:r>
        <w:rPr>
          <w:rFonts w:ascii="Cambria Math" w:hAnsi="Cambria Math" w:cs="Cambria Math"/>
        </w:rPr>
        <w:t>T</w:t>
      </w:r>
      <w:r w:rsidRPr="00E4049E">
        <w:rPr>
          <w:rFonts w:ascii="Cambria Math" w:hAnsi="Cambria Math" w:cs="Cambria Math"/>
        </w:rPr>
        <w:t xml:space="preserve">he suspension will be decided by the manager based on the circumstances and reported to the </w:t>
      </w:r>
      <w:r>
        <w:rPr>
          <w:rFonts w:ascii="Cambria Math" w:hAnsi="Cambria Math" w:cs="Cambria Math"/>
        </w:rPr>
        <w:t xml:space="preserve">user </w:t>
      </w:r>
      <w:r w:rsidRPr="00E4049E">
        <w:rPr>
          <w:rFonts w:ascii="Cambria Math" w:hAnsi="Cambria Math" w:cs="Cambria Math"/>
        </w:rPr>
        <w:t>committee for approval.</w:t>
      </w:r>
    </w:p>
    <w:p w:rsidR="00E4049E" w:rsidRDefault="00E4049E" w:rsidP="00E4049E">
      <w:pPr>
        <w:pStyle w:val="a9"/>
        <w:numPr>
          <w:ilvl w:val="0"/>
          <w:numId w:val="1"/>
        </w:numPr>
      </w:pPr>
      <w:r w:rsidRPr="00E4049E">
        <w:t>Users must strictly abide by all regulations on laboratory safety at the Academia Sinica and government labor safety; users who violate safety regulations will be suspended.</w:t>
      </w:r>
    </w:p>
    <w:p w:rsidR="00E4049E" w:rsidRDefault="00E4049E" w:rsidP="00E4049E">
      <w:pPr>
        <w:pStyle w:val="a9"/>
        <w:numPr>
          <w:ilvl w:val="0"/>
          <w:numId w:val="1"/>
        </w:numPr>
      </w:pPr>
      <w:r w:rsidRPr="00E4049E">
        <w:t>Usage and safety rules:</w:t>
      </w:r>
    </w:p>
    <w:p w:rsidR="00E4049E" w:rsidRDefault="00E4049E" w:rsidP="00E4049E">
      <w:pPr>
        <w:pStyle w:val="a9"/>
        <w:numPr>
          <w:ilvl w:val="0"/>
          <w:numId w:val="2"/>
        </w:numPr>
      </w:pPr>
      <w:r w:rsidRPr="00E4049E">
        <w:t>All users pass the Academia Sinica laboratory safety education.</w:t>
      </w:r>
    </w:p>
    <w:p w:rsidR="00E4049E" w:rsidRDefault="00E4049E" w:rsidP="00E4049E">
      <w:pPr>
        <w:pStyle w:val="a9"/>
        <w:numPr>
          <w:ilvl w:val="0"/>
          <w:numId w:val="2"/>
        </w:numPr>
      </w:pPr>
      <w:r w:rsidRPr="00E4049E">
        <w:t>Only those who have passed MINFLUX training and obtained usage authorization can open the laboratory access control.</w:t>
      </w:r>
    </w:p>
    <w:p w:rsidR="00E4049E" w:rsidRDefault="00E4049E" w:rsidP="00E4049E">
      <w:pPr>
        <w:pStyle w:val="a9"/>
        <w:numPr>
          <w:ilvl w:val="0"/>
          <w:numId w:val="2"/>
        </w:numPr>
      </w:pPr>
      <w:r w:rsidRPr="00E4049E">
        <w:t>Users are not allowed to enter the laboratory without notification, and are strictly prohibited from lending access cards to others. Violators will have all their access privileges revoked.</w:t>
      </w:r>
    </w:p>
    <w:p w:rsidR="00E4049E" w:rsidRDefault="00E4049E" w:rsidP="00E4049E">
      <w:pPr>
        <w:pStyle w:val="a9"/>
        <w:numPr>
          <w:ilvl w:val="0"/>
          <w:numId w:val="2"/>
        </w:numPr>
      </w:pPr>
      <w:r w:rsidRPr="00E4049E">
        <w:t xml:space="preserve">The </w:t>
      </w:r>
      <w:r>
        <w:t>instrument</w:t>
      </w:r>
      <w:r w:rsidRPr="00E4049E">
        <w:t xml:space="preserve"> can only be used after an appointment is made; and only the </w:t>
      </w:r>
      <w:r>
        <w:t>user</w:t>
      </w:r>
      <w:r w:rsidRPr="00E4049E">
        <w:rPr>
          <w:rFonts w:hint="eastAsia"/>
        </w:rPr>
        <w:t xml:space="preserve"> </w:t>
      </w:r>
      <w:r w:rsidRPr="00E4049E">
        <w:t>who made the appointment can use it. Violators will be suspended.</w:t>
      </w:r>
    </w:p>
    <w:p w:rsidR="00E4049E" w:rsidRDefault="00E4049E" w:rsidP="00E4049E">
      <w:pPr>
        <w:pStyle w:val="a9"/>
        <w:numPr>
          <w:ilvl w:val="0"/>
          <w:numId w:val="2"/>
        </w:numPr>
      </w:pPr>
      <w:r w:rsidRPr="00E4049E">
        <w:t xml:space="preserve">In order to maintain the security and stability of the </w:t>
      </w:r>
      <w:r>
        <w:t>instrument</w:t>
      </w:r>
      <w:r w:rsidRPr="00E4049E">
        <w:t xml:space="preserve">, users who have not used the </w:t>
      </w:r>
      <w:r>
        <w:t>instrument</w:t>
      </w:r>
      <w:r w:rsidRPr="00E4049E">
        <w:t xml:space="preserve"> for one year will have their permissions revoked and can only obtain the right to use after re-evaluation by the administrator.</w:t>
      </w:r>
    </w:p>
    <w:p w:rsidR="00E4049E" w:rsidRDefault="00E4049E" w:rsidP="00E4049E">
      <w:pPr>
        <w:pStyle w:val="a9"/>
        <w:numPr>
          <w:ilvl w:val="0"/>
          <w:numId w:val="2"/>
        </w:numPr>
      </w:pPr>
      <w:r w:rsidRPr="00E4049E">
        <w:t xml:space="preserve">After using the </w:t>
      </w:r>
      <w:r>
        <w:t>instrument</w:t>
      </w:r>
      <w:r w:rsidRPr="00E4049E">
        <w:t xml:space="preserve">, it must be restored to normal standby mode. The </w:t>
      </w:r>
      <w:r>
        <w:t>instrument</w:t>
      </w:r>
      <w:r w:rsidRPr="00E4049E">
        <w:t xml:space="preserve"> usage status must be recorded in detail in the usage log.</w:t>
      </w:r>
    </w:p>
    <w:p w:rsidR="00E4049E" w:rsidRDefault="00E4049E" w:rsidP="00E4049E">
      <w:pPr>
        <w:pStyle w:val="a9"/>
        <w:numPr>
          <w:ilvl w:val="0"/>
          <w:numId w:val="2"/>
        </w:numPr>
      </w:pPr>
      <w:r w:rsidRPr="00E4049E">
        <w:t>If the device has any abnormality or any situation, please contact the administrator.</w:t>
      </w:r>
    </w:p>
    <w:p w:rsidR="00E4049E" w:rsidRDefault="00E4049E" w:rsidP="00E4049E">
      <w:pPr>
        <w:pStyle w:val="a9"/>
        <w:numPr>
          <w:ilvl w:val="0"/>
          <w:numId w:val="2"/>
        </w:numPr>
      </w:pPr>
      <w:r w:rsidRPr="00E4049E">
        <w:t xml:space="preserve">Gas, pump and other equipment on the factory side must not be inspected, </w:t>
      </w:r>
      <w:r w:rsidRPr="00E4049E">
        <w:lastRenderedPageBreak/>
        <w:t>opened or used without training and permission.</w:t>
      </w:r>
    </w:p>
    <w:p w:rsidR="00E4049E" w:rsidRDefault="00E4049E" w:rsidP="00E4049E">
      <w:pPr>
        <w:pStyle w:val="a9"/>
        <w:numPr>
          <w:ilvl w:val="0"/>
          <w:numId w:val="2"/>
        </w:numPr>
      </w:pPr>
      <w:r w:rsidRPr="00E4049E">
        <w:t>When leaving the laboratory, users must take all personal belongings and experimental waste out of the laboratory. Experimental waste is not processed or stored in the laboratory; the manager has the right to discard or effectively dispose of personal belongings that are not marked.</w:t>
      </w:r>
    </w:p>
    <w:p w:rsidR="00E4049E" w:rsidRDefault="00E4049E" w:rsidP="00E4049E">
      <w:pPr>
        <w:pStyle w:val="a9"/>
        <w:numPr>
          <w:ilvl w:val="0"/>
          <w:numId w:val="2"/>
        </w:numPr>
      </w:pPr>
      <w:r w:rsidRPr="00E4049E">
        <w:t>Eating and drinking are not allowed in the laboratory.</w:t>
      </w:r>
    </w:p>
    <w:p w:rsidR="00E4049E" w:rsidRDefault="00E4049E" w:rsidP="00E4049E">
      <w:pPr>
        <w:pStyle w:val="a9"/>
        <w:numPr>
          <w:ilvl w:val="0"/>
          <w:numId w:val="2"/>
        </w:numPr>
      </w:pPr>
      <w:r w:rsidRPr="00E4049E">
        <w:t>Safety regulations, if discovered or reported:</w:t>
      </w:r>
    </w:p>
    <w:p w:rsidR="00E4049E" w:rsidRDefault="00E4049E" w:rsidP="00E4049E">
      <w:pPr>
        <w:pStyle w:val="a9"/>
        <w:numPr>
          <w:ilvl w:val="0"/>
          <w:numId w:val="3"/>
        </w:numPr>
      </w:pPr>
      <w:r w:rsidRPr="00E4049E">
        <w:t>If no disaster has occurred, a verbal warning will be given. If no improvement is made, the account will be suspended for one month and the project manager will be notified. If no improvement is made, the account will be suspended permanently.</w:t>
      </w:r>
    </w:p>
    <w:p w:rsidR="00E4049E" w:rsidRDefault="00E4049E" w:rsidP="00E4049E">
      <w:pPr>
        <w:pStyle w:val="a9"/>
        <w:numPr>
          <w:ilvl w:val="0"/>
          <w:numId w:val="3"/>
        </w:numPr>
      </w:pPr>
      <w:r w:rsidRPr="00E4049E">
        <w:t xml:space="preserve">Those who cause disasters will be permanently banned, and the </w:t>
      </w:r>
      <w:r>
        <w:t>PI</w:t>
      </w:r>
      <w:r w:rsidRPr="00E4049E">
        <w:rPr>
          <w:rFonts w:hint="eastAsia"/>
        </w:rPr>
        <w:t xml:space="preserve"> </w:t>
      </w:r>
      <w:r w:rsidRPr="00E4049E">
        <w:t>of the member must be responsible for compensation.</w:t>
      </w:r>
    </w:p>
    <w:p w:rsidR="00E4049E" w:rsidRDefault="00E4049E" w:rsidP="00E4049E">
      <w:pPr>
        <w:pStyle w:val="a9"/>
        <w:numPr>
          <w:ilvl w:val="0"/>
          <w:numId w:val="2"/>
        </w:numPr>
      </w:pPr>
      <w:r w:rsidRPr="00E4049E">
        <w:t>All users must read the laboratory safety rules carefully and sign to agree to comply.</w:t>
      </w:r>
    </w:p>
    <w:p w:rsidR="00E4049E" w:rsidRDefault="00E4049E" w:rsidP="00E4049E">
      <w:pPr>
        <w:rPr>
          <w:rFonts w:hint="eastAsia"/>
        </w:rPr>
      </w:pPr>
    </w:p>
    <w:p w:rsidR="00E4049E" w:rsidRDefault="00E4049E" w:rsidP="00E4049E">
      <w:pPr>
        <w:pStyle w:val="a9"/>
        <w:numPr>
          <w:ilvl w:val="0"/>
          <w:numId w:val="1"/>
        </w:numPr>
      </w:pPr>
      <w:r>
        <w:t>Operation</w:t>
      </w:r>
      <w:r w:rsidRPr="00E4049E">
        <w:t xml:space="preserve"> ways</w:t>
      </w:r>
    </w:p>
    <w:p w:rsidR="00E4049E" w:rsidRDefault="00E4049E" w:rsidP="00E4049E">
      <w:pPr>
        <w:pStyle w:val="a9"/>
        <w:numPr>
          <w:ilvl w:val="0"/>
          <w:numId w:val="4"/>
        </w:numPr>
      </w:pPr>
      <w:r>
        <w:t>Self-operation:</w:t>
      </w:r>
    </w:p>
    <w:p w:rsidR="00E4049E" w:rsidRDefault="00E4049E" w:rsidP="00E4049E">
      <w:pPr>
        <w:pStyle w:val="a9"/>
        <w:numPr>
          <w:ilvl w:val="0"/>
          <w:numId w:val="5"/>
        </w:numPr>
      </w:pPr>
      <w:r w:rsidRPr="00E4049E">
        <w:t>Users must present the certificate of passing the Academia Sinica Newcomer Laboratory Safety Education and application form before they can apply for the machine training course with the administrator.</w:t>
      </w:r>
    </w:p>
    <w:p w:rsidR="00E4049E" w:rsidRDefault="00E4049E" w:rsidP="00E4049E">
      <w:pPr>
        <w:pStyle w:val="a9"/>
        <w:numPr>
          <w:ilvl w:val="0"/>
          <w:numId w:val="5"/>
        </w:numPr>
      </w:pPr>
      <w:r w:rsidRPr="00E4049E">
        <w:t>After the user has been trained and assessed by the administrator, he or she will be given the reservation system authority and access to the laboratory.</w:t>
      </w:r>
    </w:p>
    <w:p w:rsidR="00E4049E" w:rsidRDefault="00E4049E" w:rsidP="00E4049E">
      <w:pPr>
        <w:pStyle w:val="a9"/>
        <w:numPr>
          <w:ilvl w:val="0"/>
          <w:numId w:val="4"/>
        </w:numPr>
      </w:pPr>
      <w:r w:rsidRPr="00E4049E">
        <w:t>Accompanied operation</w:t>
      </w:r>
      <w:r>
        <w:t>:</w:t>
      </w:r>
    </w:p>
    <w:p w:rsidR="00E4049E" w:rsidRDefault="00E4049E" w:rsidP="00E4049E">
      <w:pPr>
        <w:pStyle w:val="a9"/>
        <w:numPr>
          <w:ilvl w:val="0"/>
          <w:numId w:val="6"/>
        </w:numPr>
      </w:pPr>
      <w:r w:rsidRPr="00E4049E">
        <w:t>The client submits an application to the administrator.</w:t>
      </w:r>
    </w:p>
    <w:p w:rsidR="00E4049E" w:rsidRDefault="00E4049E" w:rsidP="00E4049E">
      <w:pPr>
        <w:pStyle w:val="a9"/>
        <w:numPr>
          <w:ilvl w:val="0"/>
          <w:numId w:val="6"/>
        </w:numPr>
      </w:pPr>
      <w:r w:rsidRPr="00E4049E">
        <w:t>The administrator can only make an appointment after the administrator and the client confirm the usage time.</w:t>
      </w:r>
    </w:p>
    <w:p w:rsidR="00E4049E" w:rsidRDefault="00E4049E" w:rsidP="00E4049E">
      <w:pPr>
        <w:pStyle w:val="a9"/>
        <w:numPr>
          <w:ilvl w:val="0"/>
          <w:numId w:val="6"/>
        </w:numPr>
      </w:pPr>
      <w:r w:rsidRPr="00E4049E">
        <w:t>After the use is completed, the client and the administrator must sign the usage record to close the case.</w:t>
      </w:r>
    </w:p>
    <w:sectPr w:rsidR="00E4049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3BA9"/>
    <w:multiLevelType w:val="hybridMultilevel"/>
    <w:tmpl w:val="7C3A565E"/>
    <w:lvl w:ilvl="0" w:tplc="A55424CE">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19754DF"/>
    <w:multiLevelType w:val="hybridMultilevel"/>
    <w:tmpl w:val="ABF449E6"/>
    <w:lvl w:ilvl="0" w:tplc="031459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0A4203"/>
    <w:multiLevelType w:val="hybridMultilevel"/>
    <w:tmpl w:val="018245CE"/>
    <w:lvl w:ilvl="0" w:tplc="A6E88A96">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6EC54EBC"/>
    <w:multiLevelType w:val="hybridMultilevel"/>
    <w:tmpl w:val="B43AA57E"/>
    <w:lvl w:ilvl="0" w:tplc="28941A1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75C60C62"/>
    <w:multiLevelType w:val="hybridMultilevel"/>
    <w:tmpl w:val="7428BA88"/>
    <w:lvl w:ilvl="0" w:tplc="D486A042">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7D5903B1"/>
    <w:multiLevelType w:val="hybridMultilevel"/>
    <w:tmpl w:val="701EA932"/>
    <w:lvl w:ilvl="0" w:tplc="3AF09C0E">
      <w:start w:val="1"/>
      <w:numFmt w:val="lowerRoman"/>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883561989">
    <w:abstractNumId w:val="1"/>
  </w:num>
  <w:num w:numId="2" w16cid:durableId="1048527793">
    <w:abstractNumId w:val="3"/>
  </w:num>
  <w:num w:numId="3" w16cid:durableId="927809098">
    <w:abstractNumId w:val="2"/>
  </w:num>
  <w:num w:numId="4" w16cid:durableId="1817988136">
    <w:abstractNumId w:val="4"/>
  </w:num>
  <w:num w:numId="5" w16cid:durableId="1103383480">
    <w:abstractNumId w:val="5"/>
  </w:num>
  <w:num w:numId="6" w16cid:durableId="672342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9E"/>
    <w:rsid w:val="003A06F9"/>
    <w:rsid w:val="00E40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3A71461"/>
  <w15:chartTrackingRefBased/>
  <w15:docId w15:val="{96C0ED04-E972-3245-9791-0D88A1F3B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04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04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049E"/>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
    <w:next w:val="a"/>
    <w:link w:val="40"/>
    <w:uiPriority w:val="9"/>
    <w:semiHidden/>
    <w:unhideWhenUsed/>
    <w:qFormat/>
    <w:rsid w:val="00E4049E"/>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
    <w:next w:val="a"/>
    <w:link w:val="50"/>
    <w:uiPriority w:val="9"/>
    <w:semiHidden/>
    <w:unhideWhenUsed/>
    <w:qFormat/>
    <w:rsid w:val="00E4049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4049E"/>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4049E"/>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4049E"/>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4049E"/>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4049E"/>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E4049E"/>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E4049E"/>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E4049E"/>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E4049E"/>
    <w:rPr>
      <w:rFonts w:eastAsiaTheme="majorEastAsia" w:cstheme="majorBidi"/>
      <w:color w:val="2F5496" w:themeColor="accent1" w:themeShade="BF"/>
    </w:rPr>
  </w:style>
  <w:style w:type="character" w:customStyle="1" w:styleId="60">
    <w:name w:val="標題 6 字元"/>
    <w:basedOn w:val="a0"/>
    <w:link w:val="6"/>
    <w:uiPriority w:val="9"/>
    <w:semiHidden/>
    <w:rsid w:val="00E4049E"/>
    <w:rPr>
      <w:rFonts w:eastAsiaTheme="majorEastAsia" w:cstheme="majorBidi"/>
      <w:color w:val="595959" w:themeColor="text1" w:themeTint="A6"/>
    </w:rPr>
  </w:style>
  <w:style w:type="character" w:customStyle="1" w:styleId="70">
    <w:name w:val="標題 7 字元"/>
    <w:basedOn w:val="a0"/>
    <w:link w:val="7"/>
    <w:uiPriority w:val="9"/>
    <w:semiHidden/>
    <w:rsid w:val="00E4049E"/>
    <w:rPr>
      <w:rFonts w:eastAsiaTheme="majorEastAsia" w:cstheme="majorBidi"/>
      <w:color w:val="595959" w:themeColor="text1" w:themeTint="A6"/>
    </w:rPr>
  </w:style>
  <w:style w:type="character" w:customStyle="1" w:styleId="80">
    <w:name w:val="標題 8 字元"/>
    <w:basedOn w:val="a0"/>
    <w:link w:val="8"/>
    <w:uiPriority w:val="9"/>
    <w:semiHidden/>
    <w:rsid w:val="00E4049E"/>
    <w:rPr>
      <w:rFonts w:eastAsiaTheme="majorEastAsia" w:cstheme="majorBidi"/>
      <w:color w:val="272727" w:themeColor="text1" w:themeTint="D8"/>
    </w:rPr>
  </w:style>
  <w:style w:type="character" w:customStyle="1" w:styleId="90">
    <w:name w:val="標題 9 字元"/>
    <w:basedOn w:val="a0"/>
    <w:link w:val="9"/>
    <w:uiPriority w:val="9"/>
    <w:semiHidden/>
    <w:rsid w:val="00E4049E"/>
    <w:rPr>
      <w:rFonts w:eastAsiaTheme="majorEastAsia" w:cstheme="majorBidi"/>
      <w:color w:val="272727" w:themeColor="text1" w:themeTint="D8"/>
    </w:rPr>
  </w:style>
  <w:style w:type="paragraph" w:styleId="a3">
    <w:name w:val="Title"/>
    <w:basedOn w:val="a"/>
    <w:next w:val="a"/>
    <w:link w:val="a4"/>
    <w:uiPriority w:val="10"/>
    <w:qFormat/>
    <w:rsid w:val="00E404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404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04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404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049E"/>
    <w:pPr>
      <w:spacing w:before="160"/>
      <w:jc w:val="center"/>
    </w:pPr>
    <w:rPr>
      <w:i/>
      <w:iCs/>
      <w:color w:val="404040" w:themeColor="text1" w:themeTint="BF"/>
    </w:rPr>
  </w:style>
  <w:style w:type="character" w:customStyle="1" w:styleId="a8">
    <w:name w:val="引文 字元"/>
    <w:basedOn w:val="a0"/>
    <w:link w:val="a7"/>
    <w:uiPriority w:val="29"/>
    <w:rsid w:val="00E4049E"/>
    <w:rPr>
      <w:i/>
      <w:iCs/>
      <w:color w:val="404040" w:themeColor="text1" w:themeTint="BF"/>
    </w:rPr>
  </w:style>
  <w:style w:type="paragraph" w:styleId="a9">
    <w:name w:val="List Paragraph"/>
    <w:basedOn w:val="a"/>
    <w:uiPriority w:val="34"/>
    <w:qFormat/>
    <w:rsid w:val="00E4049E"/>
    <w:pPr>
      <w:ind w:left="720"/>
      <w:contextualSpacing/>
    </w:pPr>
  </w:style>
  <w:style w:type="character" w:styleId="aa">
    <w:name w:val="Intense Emphasis"/>
    <w:basedOn w:val="a0"/>
    <w:uiPriority w:val="21"/>
    <w:qFormat/>
    <w:rsid w:val="00E4049E"/>
    <w:rPr>
      <w:i/>
      <w:iCs/>
      <w:color w:val="2F5496" w:themeColor="accent1" w:themeShade="BF"/>
    </w:rPr>
  </w:style>
  <w:style w:type="paragraph" w:styleId="ab">
    <w:name w:val="Intense Quote"/>
    <w:basedOn w:val="a"/>
    <w:next w:val="a"/>
    <w:link w:val="ac"/>
    <w:uiPriority w:val="30"/>
    <w:qFormat/>
    <w:rsid w:val="00E404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E4049E"/>
    <w:rPr>
      <w:i/>
      <w:iCs/>
      <w:color w:val="2F5496" w:themeColor="accent1" w:themeShade="BF"/>
    </w:rPr>
  </w:style>
  <w:style w:type="character" w:styleId="ad">
    <w:name w:val="Intense Reference"/>
    <w:basedOn w:val="a0"/>
    <w:uiPriority w:val="32"/>
    <w:qFormat/>
    <w:rsid w:val="00E404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2025-07-09T01:34:00Z</dcterms:created>
  <dcterms:modified xsi:type="dcterms:W3CDTF">2025-07-10T04:04:00Z</dcterms:modified>
</cp:coreProperties>
</file>